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636E0" w14:textId="5710DA86" w:rsidR="00BE4284" w:rsidRPr="00BE4284" w:rsidRDefault="00BE4284" w:rsidP="00C47A99">
      <w:pPr>
        <w:pStyle w:val="Default"/>
        <w:ind w:hanging="11"/>
        <w:rPr>
          <w:rFonts w:ascii="Arial" w:hAnsi="Arial" w:cs="Times New Roman"/>
          <w:color w:val="auto"/>
          <w:sz w:val="20"/>
          <w:szCs w:val="20"/>
          <w:lang w:eastAsia="en-US"/>
        </w:rPr>
      </w:pP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>The following Alternative prices are sought as part of the Bid to assist the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 xml:space="preserve"> Owner in value engineering the W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>ork and maximizing the use of the available construction budget. The fo</w:t>
      </w:r>
      <w:r w:rsidR="000C06E6">
        <w:rPr>
          <w:rFonts w:ascii="Arial" w:hAnsi="Arial" w:cs="Times New Roman"/>
          <w:color w:val="auto"/>
          <w:sz w:val="20"/>
          <w:szCs w:val="20"/>
          <w:lang w:eastAsia="en-US"/>
        </w:rPr>
        <w:t>llowing list of Alternative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 xml:space="preserve"> Prices 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are </w:t>
      </w:r>
      <w:r w:rsidRPr="00965D6B">
        <w:rPr>
          <w:rFonts w:ascii="Arial" w:hAnsi="Arial" w:cs="Times New Roman"/>
          <w:b/>
          <w:color w:val="auto"/>
          <w:sz w:val="20"/>
          <w:szCs w:val="20"/>
          <w:lang w:eastAsia="en-US"/>
        </w:rPr>
        <w:t>NOT INCLUDED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 in the Bid price. Individual Alternative Prices may b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e</w:t>
      </w:r>
      <w:r w:rsidR="00F015B5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 discarded or added into the Contract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 at the discretion of the Owner.</w:t>
      </w:r>
      <w:r w:rsidR="00C47A99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 </w:t>
      </w:r>
      <w:r w:rsidR="00C47A99">
        <w:rPr>
          <w:rFonts w:ascii="Arial" w:hAnsi="Arial" w:cs="Times New Roman"/>
          <w:color w:val="auto"/>
          <w:sz w:val="20"/>
          <w:szCs w:val="20"/>
          <w:lang w:eastAsia="en-US"/>
        </w:rPr>
        <w:br/>
      </w:r>
    </w:p>
    <w:p w14:paraId="42C43113" w14:textId="77777777" w:rsidR="00BE4284" w:rsidRPr="00BE4284" w:rsidRDefault="00BE4284" w:rsidP="00BE4284">
      <w:pPr>
        <w:pStyle w:val="Default"/>
        <w:ind w:hanging="11"/>
        <w:rPr>
          <w:rFonts w:ascii="Arial" w:hAnsi="Arial" w:cs="Times New Roman"/>
          <w:color w:val="auto"/>
          <w:sz w:val="20"/>
          <w:szCs w:val="20"/>
          <w:lang w:eastAsia="en-US"/>
        </w:rPr>
      </w:pP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Below are the required alternative prices.  The amount to be added to, or deducted from, the base bid 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p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rice (as entered in the Bid Form) is entered for each requested alternative. 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 xml:space="preserve"> All alternative prices exclude 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HST.  If there is no change to the base bid price for an alternative, it must be so indicated. It is understood that: 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br/>
      </w:r>
    </w:p>
    <w:p w14:paraId="7B9B8FD9" w14:textId="6C7B096B" w:rsidR="00BE4284" w:rsidRPr="00BE4284" w:rsidRDefault="00BE4284" w:rsidP="00BE4284">
      <w:pPr>
        <w:pStyle w:val="Default"/>
        <w:ind w:left="720" w:hanging="720"/>
        <w:rPr>
          <w:rFonts w:ascii="Arial" w:hAnsi="Arial" w:cs="Times New Roman"/>
          <w:color w:val="auto"/>
          <w:sz w:val="20"/>
          <w:szCs w:val="20"/>
          <w:lang w:eastAsia="en-US"/>
        </w:rPr>
      </w:pP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(a) 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ab/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T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he </w:t>
      </w:r>
      <w:proofErr w:type="gramStart"/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>City</w:t>
      </w:r>
      <w:proofErr w:type="gramEnd"/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 may accept any of the alternatives and corresponding alternative prices in any order or comb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ination, inc</w:t>
      </w:r>
      <w:r w:rsidR="00310A78">
        <w:rPr>
          <w:rFonts w:ascii="Arial" w:hAnsi="Arial" w:cs="Times New Roman"/>
          <w:color w:val="auto"/>
          <w:sz w:val="20"/>
          <w:szCs w:val="20"/>
          <w:lang w:eastAsia="en-US"/>
        </w:rPr>
        <w:softHyphen/>
      </w:r>
      <w:r w:rsidR="00310A78">
        <w:rPr>
          <w:rFonts w:ascii="Arial" w:hAnsi="Arial" w:cs="Times New Roman"/>
          <w:color w:val="auto"/>
          <w:sz w:val="20"/>
          <w:szCs w:val="20"/>
          <w:lang w:eastAsia="en-US"/>
        </w:rPr>
        <w:softHyphen/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luding all or none;</w:t>
      </w:r>
    </w:p>
    <w:p w14:paraId="19EA71E5" w14:textId="77777777" w:rsidR="00BE4284" w:rsidRPr="00BE4284" w:rsidRDefault="00BE4284" w:rsidP="00BE4284">
      <w:pPr>
        <w:pStyle w:val="Default"/>
        <w:ind w:left="720" w:hanging="720"/>
        <w:rPr>
          <w:rFonts w:ascii="Arial" w:hAnsi="Arial" w:cs="Times New Roman"/>
          <w:color w:val="auto"/>
          <w:sz w:val="20"/>
          <w:szCs w:val="20"/>
          <w:lang w:eastAsia="en-US"/>
        </w:rPr>
      </w:pP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(b) 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ab/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T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>he lowest Bidder will be determined solely from the base bid, without considering any alternative prices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;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 </w:t>
      </w:r>
    </w:p>
    <w:p w14:paraId="52200D9F" w14:textId="77777777" w:rsidR="00BE4284" w:rsidRPr="00BE4284" w:rsidRDefault="00BE4284" w:rsidP="00BE4284">
      <w:pPr>
        <w:pStyle w:val="Default"/>
        <w:ind w:left="720" w:hanging="720"/>
        <w:rPr>
          <w:rFonts w:ascii="Arial" w:hAnsi="Arial" w:cs="Times New Roman"/>
          <w:color w:val="auto"/>
          <w:sz w:val="20"/>
          <w:szCs w:val="20"/>
          <w:lang w:eastAsia="en-US"/>
        </w:rPr>
      </w:pP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(c) 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ab/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A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lternatives and alternative prices are open for acceptance by the </w:t>
      </w:r>
      <w:proofErr w:type="gramStart"/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>City</w:t>
      </w:r>
      <w:proofErr w:type="gramEnd"/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 for the same period of time as the base bid price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;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 </w:t>
      </w:r>
    </w:p>
    <w:p w14:paraId="32B765C7" w14:textId="77777777" w:rsidR="00BE4284" w:rsidRPr="00BE4284" w:rsidRDefault="00BE4284" w:rsidP="00BE4284">
      <w:pPr>
        <w:pStyle w:val="Default"/>
        <w:ind w:left="720" w:hanging="720"/>
        <w:rPr>
          <w:rFonts w:ascii="Arial" w:hAnsi="Arial" w:cs="Times New Roman"/>
          <w:color w:val="auto"/>
          <w:sz w:val="20"/>
          <w:szCs w:val="20"/>
          <w:lang w:eastAsia="en-US"/>
        </w:rPr>
      </w:pP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(d) 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ab/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T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 xml:space="preserve">he Work of the Contract and the Contract Price will reflect the alternatives and alternative prices, if any, accepted by the City at 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the time of Contract award, and;</w:t>
      </w:r>
    </w:p>
    <w:p w14:paraId="40C8550A" w14:textId="77777777" w:rsidR="00276409" w:rsidRDefault="00BE4284" w:rsidP="00BE4284">
      <w:pPr>
        <w:pStyle w:val="Default"/>
        <w:ind w:left="720" w:hanging="720"/>
        <w:rPr>
          <w:rFonts w:ascii="Arial" w:hAnsi="Arial" w:cs="Times New Roman"/>
          <w:color w:val="auto"/>
          <w:sz w:val="20"/>
          <w:szCs w:val="20"/>
          <w:lang w:eastAsia="en-US"/>
        </w:rPr>
      </w:pPr>
      <w:r>
        <w:rPr>
          <w:rFonts w:ascii="Arial" w:hAnsi="Arial" w:cs="Times New Roman"/>
          <w:color w:val="auto"/>
          <w:sz w:val="20"/>
          <w:szCs w:val="20"/>
          <w:lang w:eastAsia="en-US"/>
        </w:rPr>
        <w:t>(e)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ab/>
        <w:t>A</w:t>
      </w:r>
      <w:r w:rsidRPr="00BE4284">
        <w:rPr>
          <w:rFonts w:ascii="Arial" w:hAnsi="Arial" w:cs="Times New Roman"/>
          <w:color w:val="auto"/>
          <w:sz w:val="20"/>
          <w:szCs w:val="20"/>
          <w:lang w:eastAsia="en-US"/>
        </w:rPr>
        <w:t>cceptance of any alternatives will not affect the Contract completion time</w:t>
      </w:r>
      <w:r>
        <w:rPr>
          <w:rFonts w:ascii="Arial" w:hAnsi="Arial" w:cs="Times New Roman"/>
          <w:color w:val="auto"/>
          <w:sz w:val="20"/>
          <w:szCs w:val="20"/>
          <w:lang w:eastAsia="en-US"/>
        </w:rPr>
        <w:t>.</w:t>
      </w:r>
    </w:p>
    <w:p w14:paraId="19ADC75E" w14:textId="2BDB9B5E" w:rsidR="003E42C4" w:rsidRDefault="00C96698" w:rsidP="00276409">
      <w:pPr>
        <w:pStyle w:val="Default"/>
        <w:ind w:left="720" w:hanging="720"/>
        <w:rPr>
          <w:rFonts w:ascii="Arial" w:hAnsi="Arial" w:cs="Arial"/>
          <w:color w:val="211D1E"/>
          <w:sz w:val="22"/>
          <w:szCs w:val="22"/>
        </w:rPr>
      </w:pPr>
      <w:r>
        <w:rPr>
          <w:rFonts w:ascii="Arial" w:hAnsi="Arial" w:cs="Arial"/>
          <w:color w:val="211D1E"/>
          <w:sz w:val="22"/>
          <w:szCs w:val="22"/>
        </w:rPr>
        <w:br/>
      </w:r>
    </w:p>
    <w:tbl>
      <w:tblPr>
        <w:tblW w:w="49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5544"/>
        <w:gridCol w:w="2518"/>
      </w:tblGrid>
      <w:tr w:rsidR="00D34DC5" w:rsidRPr="00483E13" w14:paraId="36F5AC52" w14:textId="77777777" w:rsidTr="00D34DC5">
        <w:trPr>
          <w:tblHeader/>
          <w:jc w:val="center"/>
        </w:trPr>
        <w:tc>
          <w:tcPr>
            <w:tcW w:w="681" w:type="pct"/>
            <w:shd w:val="clear" w:color="auto" w:fill="E6E6E6"/>
            <w:vAlign w:val="center"/>
          </w:tcPr>
          <w:p w14:paraId="57805B80" w14:textId="77777777" w:rsidR="00D34DC5" w:rsidRDefault="00D34DC5" w:rsidP="00F31B69">
            <w:pPr>
              <w:widowControl w:val="0"/>
              <w:ind w:left="360" w:hanging="360"/>
              <w:jc w:val="center"/>
              <w:rPr>
                <w:b/>
                <w:snapToGrid w:val="0"/>
                <w:color w:val="000000"/>
                <w:sz w:val="20"/>
              </w:rPr>
            </w:pPr>
            <w:r>
              <w:rPr>
                <w:b/>
                <w:snapToGrid w:val="0"/>
                <w:color w:val="000000"/>
                <w:sz w:val="20"/>
              </w:rPr>
              <w:t>Alternative</w:t>
            </w:r>
          </w:p>
          <w:p w14:paraId="724314A4" w14:textId="77777777" w:rsidR="00D34DC5" w:rsidRPr="00211413" w:rsidRDefault="00D34DC5" w:rsidP="00F31B69">
            <w:pPr>
              <w:widowControl w:val="0"/>
              <w:ind w:left="360" w:hanging="360"/>
              <w:jc w:val="center"/>
              <w:rPr>
                <w:b/>
                <w:snapToGrid w:val="0"/>
                <w:color w:val="000000"/>
                <w:sz w:val="20"/>
              </w:rPr>
            </w:pPr>
            <w:r>
              <w:rPr>
                <w:b/>
                <w:snapToGrid w:val="0"/>
                <w:color w:val="000000"/>
                <w:sz w:val="20"/>
              </w:rPr>
              <w:t>Price</w:t>
            </w:r>
          </w:p>
        </w:tc>
        <w:tc>
          <w:tcPr>
            <w:tcW w:w="2970" w:type="pct"/>
            <w:shd w:val="clear" w:color="auto" w:fill="E6E6E6"/>
            <w:vAlign w:val="center"/>
          </w:tcPr>
          <w:p w14:paraId="127BBAF0" w14:textId="77777777" w:rsidR="00D34DC5" w:rsidRPr="00211413" w:rsidRDefault="00D34DC5" w:rsidP="00F31B69">
            <w:pPr>
              <w:widowControl w:val="0"/>
              <w:ind w:left="360" w:hanging="360"/>
              <w:jc w:val="center"/>
              <w:rPr>
                <w:b/>
                <w:snapToGrid w:val="0"/>
                <w:color w:val="000000"/>
                <w:sz w:val="20"/>
              </w:rPr>
            </w:pPr>
          </w:p>
          <w:p w14:paraId="2FBF3745" w14:textId="77777777" w:rsidR="00D34DC5" w:rsidRPr="00211413" w:rsidRDefault="00D34DC5" w:rsidP="00F31B69">
            <w:pPr>
              <w:widowControl w:val="0"/>
              <w:ind w:left="360" w:hanging="360"/>
              <w:jc w:val="center"/>
              <w:rPr>
                <w:b/>
                <w:snapToGrid w:val="0"/>
                <w:color w:val="000000"/>
                <w:sz w:val="20"/>
              </w:rPr>
            </w:pPr>
            <w:r w:rsidRPr="00211413">
              <w:rPr>
                <w:b/>
                <w:snapToGrid w:val="0"/>
                <w:color w:val="000000"/>
                <w:sz w:val="20"/>
              </w:rPr>
              <w:t>Description</w:t>
            </w:r>
          </w:p>
          <w:p w14:paraId="55B820BD" w14:textId="77777777" w:rsidR="00D34DC5" w:rsidRPr="00211413" w:rsidRDefault="00D34DC5" w:rsidP="00F31B69">
            <w:pPr>
              <w:widowControl w:val="0"/>
              <w:ind w:left="360" w:hanging="360"/>
              <w:jc w:val="center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349" w:type="pct"/>
            <w:shd w:val="clear" w:color="auto" w:fill="E6E6E6"/>
            <w:vAlign w:val="center"/>
          </w:tcPr>
          <w:p w14:paraId="13CCE83A" w14:textId="77777777" w:rsidR="00D34DC5" w:rsidRPr="00483E13" w:rsidRDefault="00D34DC5" w:rsidP="00F31B69">
            <w:pPr>
              <w:widowControl w:val="0"/>
              <w:ind w:left="360" w:hanging="360"/>
              <w:jc w:val="center"/>
              <w:rPr>
                <w:b/>
                <w:snapToGrid w:val="0"/>
                <w:sz w:val="20"/>
              </w:rPr>
            </w:pPr>
            <w:r w:rsidRPr="00483E13">
              <w:rPr>
                <w:b/>
                <w:snapToGrid w:val="0"/>
                <w:sz w:val="20"/>
              </w:rPr>
              <w:t>Price</w:t>
            </w:r>
          </w:p>
        </w:tc>
      </w:tr>
      <w:tr w:rsidR="009035A0" w:rsidRPr="00483E13" w14:paraId="19C298F2" w14:textId="77777777" w:rsidTr="00B9656E">
        <w:trPr>
          <w:trHeight w:val="2055"/>
          <w:jc w:val="center"/>
        </w:trPr>
        <w:tc>
          <w:tcPr>
            <w:tcW w:w="681" w:type="pct"/>
            <w:vAlign w:val="center"/>
          </w:tcPr>
          <w:p w14:paraId="61C9CD74" w14:textId="77777777" w:rsidR="009035A0" w:rsidRPr="00D34DC5" w:rsidRDefault="009035A0" w:rsidP="009035A0">
            <w:pPr>
              <w:pStyle w:val="ListParagraph"/>
              <w:widowControl w:val="0"/>
              <w:numPr>
                <w:ilvl w:val="0"/>
                <w:numId w:val="6"/>
              </w:numPr>
              <w:spacing w:before="120" w:after="120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2970" w:type="pct"/>
            <w:vAlign w:val="center"/>
          </w:tcPr>
          <w:p w14:paraId="1A63FA8A" w14:textId="0240283D" w:rsidR="009035A0" w:rsidRDefault="00A600E8" w:rsidP="009035A0">
            <w:pPr>
              <w:tabs>
                <w:tab w:val="left" w:pos="180"/>
                <w:tab w:val="right" w:pos="9360"/>
              </w:tabs>
              <w:rPr>
                <w:bCs/>
                <w:sz w:val="18"/>
                <w:szCs w:val="18"/>
              </w:rPr>
            </w:pPr>
            <w:ins w:id="0" w:author="Mike Yang" w:date="2024-06-13T08:09:00Z" w16du:dateUtc="2024-06-13T12:09:00Z">
              <w:r>
                <w:rPr>
                  <w:b/>
                  <w:bCs/>
                  <w:sz w:val="18"/>
                  <w:szCs w:val="18"/>
                </w:rPr>
                <w:t>21504.F05_</w:t>
              </w:r>
            </w:ins>
            <w:r w:rsidR="00B9656E">
              <w:rPr>
                <w:b/>
                <w:bCs/>
                <w:sz w:val="18"/>
                <w:szCs w:val="18"/>
              </w:rPr>
              <w:t>Cummer Lodge</w:t>
            </w:r>
            <w:r w:rsidR="009035A0">
              <w:rPr>
                <w:b/>
                <w:bCs/>
                <w:sz w:val="18"/>
                <w:szCs w:val="18"/>
              </w:rPr>
              <w:t xml:space="preserve"> </w:t>
            </w:r>
            <w:r w:rsidR="003A1E74" w:rsidRPr="003A1E74">
              <w:rPr>
                <w:b/>
                <w:bCs/>
                <w:sz w:val="18"/>
                <w:szCs w:val="18"/>
              </w:rPr>
              <w:t>- CL 2N Flooring</w:t>
            </w:r>
            <w:r w:rsidR="009035A0">
              <w:rPr>
                <w:b/>
                <w:bCs/>
                <w:sz w:val="18"/>
                <w:szCs w:val="18"/>
              </w:rPr>
              <w:br/>
            </w:r>
            <w:r w:rsidR="009035A0">
              <w:rPr>
                <w:b/>
                <w:bCs/>
                <w:sz w:val="18"/>
                <w:szCs w:val="18"/>
              </w:rPr>
              <w:br/>
            </w:r>
            <w:r w:rsidR="00153EAB">
              <w:rPr>
                <w:bCs/>
                <w:sz w:val="18"/>
                <w:szCs w:val="18"/>
              </w:rPr>
              <w:t>2</w:t>
            </w:r>
            <w:r w:rsidR="00153EAB" w:rsidRPr="00153EAB">
              <w:rPr>
                <w:bCs/>
                <w:sz w:val="18"/>
                <w:szCs w:val="18"/>
                <w:vertAlign w:val="superscript"/>
              </w:rPr>
              <w:t>nd</w:t>
            </w:r>
            <w:r w:rsidR="00153EAB">
              <w:rPr>
                <w:bCs/>
                <w:sz w:val="18"/>
                <w:szCs w:val="18"/>
              </w:rPr>
              <w:t xml:space="preserve"> </w:t>
            </w:r>
            <w:r w:rsidR="003A1E74" w:rsidRPr="003A1E74">
              <w:rPr>
                <w:bCs/>
                <w:sz w:val="18"/>
                <w:szCs w:val="18"/>
              </w:rPr>
              <w:t xml:space="preserve">floor </w:t>
            </w:r>
            <w:r w:rsidR="00153EAB">
              <w:rPr>
                <w:bCs/>
                <w:sz w:val="18"/>
                <w:szCs w:val="18"/>
              </w:rPr>
              <w:t xml:space="preserve">corner </w:t>
            </w:r>
            <w:proofErr w:type="gramStart"/>
            <w:r w:rsidR="00153EAB">
              <w:rPr>
                <w:bCs/>
                <w:sz w:val="18"/>
                <w:szCs w:val="18"/>
              </w:rPr>
              <w:t>guards</w:t>
            </w:r>
            <w:proofErr w:type="gramEnd"/>
            <w:r w:rsidR="003A1E74" w:rsidRPr="003A1E74">
              <w:rPr>
                <w:bCs/>
                <w:sz w:val="18"/>
                <w:szCs w:val="18"/>
              </w:rPr>
              <w:t xml:space="preserve"> replacement Alternate price #1</w:t>
            </w:r>
          </w:p>
          <w:p w14:paraId="7A87A4A6" w14:textId="77777777" w:rsidR="009035A0" w:rsidRDefault="009035A0" w:rsidP="009035A0">
            <w:pPr>
              <w:tabs>
                <w:tab w:val="left" w:pos="180"/>
                <w:tab w:val="right" w:pos="9360"/>
              </w:tabs>
              <w:rPr>
                <w:b/>
                <w:bCs/>
                <w:sz w:val="18"/>
                <w:szCs w:val="18"/>
              </w:rPr>
            </w:pPr>
          </w:p>
          <w:p w14:paraId="40C46CDD" w14:textId="107FB88D" w:rsidR="009035A0" w:rsidRDefault="009035A0" w:rsidP="009035A0">
            <w:pPr>
              <w:tabs>
                <w:tab w:val="left" w:pos="180"/>
                <w:tab w:val="right" w:pos="9360"/>
              </w:tabs>
              <w:rPr>
                <w:sz w:val="18"/>
                <w:szCs w:val="18"/>
              </w:rPr>
            </w:pPr>
            <w:r w:rsidRPr="00C762A3">
              <w:rPr>
                <w:bCs/>
                <w:sz w:val="18"/>
                <w:szCs w:val="18"/>
              </w:rPr>
              <w:t xml:space="preserve">Refer to </w:t>
            </w:r>
            <w:r>
              <w:rPr>
                <w:bCs/>
                <w:sz w:val="18"/>
                <w:szCs w:val="18"/>
              </w:rPr>
              <w:t>Drawing</w:t>
            </w:r>
            <w:r w:rsidR="00B9656E">
              <w:rPr>
                <w:bCs/>
                <w:sz w:val="18"/>
                <w:szCs w:val="18"/>
              </w:rPr>
              <w:t>s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762A3">
              <w:rPr>
                <w:sz w:val="18"/>
                <w:szCs w:val="18"/>
              </w:rPr>
              <w:t>and Specifications.</w:t>
            </w:r>
          </w:p>
          <w:p w14:paraId="4A913E2A" w14:textId="77777777" w:rsidR="009035A0" w:rsidRDefault="009035A0" w:rsidP="009035A0">
            <w:pPr>
              <w:tabs>
                <w:tab w:val="left" w:pos="180"/>
                <w:tab w:val="right" w:pos="9360"/>
              </w:tabs>
              <w:rPr>
                <w:sz w:val="18"/>
                <w:szCs w:val="18"/>
              </w:rPr>
            </w:pPr>
          </w:p>
          <w:p w14:paraId="15DBCC49" w14:textId="410AAFF8" w:rsidR="009035A0" w:rsidRDefault="009035A0" w:rsidP="009035A0">
            <w:pPr>
              <w:tabs>
                <w:tab w:val="left" w:pos="180"/>
                <w:tab w:val="right" w:pos="93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L</w:t>
            </w:r>
            <w:r w:rsidRPr="00B60BEC">
              <w:rPr>
                <w:b/>
                <w:snapToGrid w:val="0"/>
                <w:color w:val="000000"/>
                <w:sz w:val="18"/>
                <w:szCs w:val="18"/>
              </w:rPr>
              <w:t xml:space="preserve">ump Sum </w:t>
            </w:r>
            <w:r w:rsidRPr="00B60BEC">
              <w:rPr>
                <w:sz w:val="18"/>
                <w:szCs w:val="18"/>
              </w:rPr>
              <w:t>excluding Harmonized Sales Tax (HST).</w:t>
            </w:r>
          </w:p>
        </w:tc>
        <w:tc>
          <w:tcPr>
            <w:tcW w:w="1349" w:type="pct"/>
            <w:vAlign w:val="center"/>
          </w:tcPr>
          <w:p w14:paraId="2C38CAA3" w14:textId="18D39355" w:rsidR="00B9656E" w:rsidRPr="00483E13" w:rsidRDefault="009035A0" w:rsidP="00B9656E">
            <w:pPr>
              <w:widowControl w:val="0"/>
              <w:spacing w:before="120" w:after="120"/>
              <w:ind w:left="360" w:hanging="360"/>
              <w:rPr>
                <w:snapToGrid w:val="0"/>
                <w:sz w:val="20"/>
              </w:rPr>
            </w:pPr>
            <w:r w:rsidRPr="00483E13">
              <w:rPr>
                <w:snapToGrid w:val="0"/>
                <w:sz w:val="20"/>
              </w:rPr>
              <w:t>$</w:t>
            </w:r>
            <w:r>
              <w:rPr>
                <w:snapToGrid w:val="0"/>
                <w:sz w:val="20"/>
              </w:rPr>
              <w:t xml:space="preserve"> </w:t>
            </w:r>
          </w:p>
        </w:tc>
      </w:tr>
      <w:tr w:rsidR="00B9656E" w:rsidRPr="00483E13" w14:paraId="483E55FA" w14:textId="77777777" w:rsidTr="00864CF9">
        <w:trPr>
          <w:trHeight w:val="2162"/>
          <w:jc w:val="center"/>
        </w:trPr>
        <w:tc>
          <w:tcPr>
            <w:tcW w:w="681" w:type="pct"/>
            <w:vAlign w:val="center"/>
          </w:tcPr>
          <w:p w14:paraId="6A6116C0" w14:textId="77777777" w:rsidR="00B9656E" w:rsidRPr="00D34DC5" w:rsidRDefault="00B9656E" w:rsidP="009035A0">
            <w:pPr>
              <w:pStyle w:val="ListParagraph"/>
              <w:widowControl w:val="0"/>
              <w:numPr>
                <w:ilvl w:val="0"/>
                <w:numId w:val="6"/>
              </w:numPr>
              <w:spacing w:before="120" w:after="120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2970" w:type="pct"/>
            <w:vAlign w:val="center"/>
          </w:tcPr>
          <w:p w14:paraId="7A7D3E3D" w14:textId="24CA0322" w:rsidR="00153EAB" w:rsidRDefault="00A600E8" w:rsidP="00153EAB">
            <w:pPr>
              <w:tabs>
                <w:tab w:val="left" w:pos="180"/>
                <w:tab w:val="right" w:pos="9360"/>
              </w:tabs>
              <w:rPr>
                <w:bCs/>
                <w:sz w:val="18"/>
                <w:szCs w:val="18"/>
              </w:rPr>
            </w:pPr>
            <w:ins w:id="1" w:author="Mike Yang" w:date="2024-06-13T08:09:00Z" w16du:dateUtc="2024-06-13T12:09:00Z">
              <w:r>
                <w:rPr>
                  <w:b/>
                  <w:bCs/>
                  <w:sz w:val="18"/>
                  <w:szCs w:val="18"/>
                </w:rPr>
                <w:t>21504.F05_</w:t>
              </w:r>
            </w:ins>
            <w:r w:rsidR="00153EAB">
              <w:rPr>
                <w:b/>
                <w:bCs/>
                <w:sz w:val="18"/>
                <w:szCs w:val="18"/>
              </w:rPr>
              <w:t xml:space="preserve">Cummer Lodge </w:t>
            </w:r>
            <w:r w:rsidR="00153EAB" w:rsidRPr="003A1E74">
              <w:rPr>
                <w:b/>
                <w:bCs/>
                <w:sz w:val="18"/>
                <w:szCs w:val="18"/>
              </w:rPr>
              <w:t>- CL 2N Flooring</w:t>
            </w:r>
            <w:r w:rsidR="00153EAB">
              <w:rPr>
                <w:b/>
                <w:bCs/>
                <w:sz w:val="18"/>
                <w:szCs w:val="18"/>
              </w:rPr>
              <w:br/>
            </w:r>
            <w:r w:rsidR="00153EAB">
              <w:rPr>
                <w:b/>
                <w:bCs/>
                <w:sz w:val="18"/>
                <w:szCs w:val="18"/>
              </w:rPr>
              <w:br/>
            </w:r>
            <w:r w:rsidR="00153EAB">
              <w:rPr>
                <w:bCs/>
                <w:sz w:val="18"/>
                <w:szCs w:val="18"/>
              </w:rPr>
              <w:t>2</w:t>
            </w:r>
            <w:r w:rsidR="00153EAB" w:rsidRPr="00153EAB">
              <w:rPr>
                <w:bCs/>
                <w:sz w:val="18"/>
                <w:szCs w:val="18"/>
                <w:vertAlign w:val="superscript"/>
              </w:rPr>
              <w:t>nd</w:t>
            </w:r>
            <w:r w:rsidR="00153EAB">
              <w:rPr>
                <w:bCs/>
                <w:sz w:val="18"/>
                <w:szCs w:val="18"/>
              </w:rPr>
              <w:t xml:space="preserve"> </w:t>
            </w:r>
            <w:r w:rsidR="00153EAB" w:rsidRPr="003A1E74">
              <w:rPr>
                <w:bCs/>
                <w:sz w:val="18"/>
                <w:szCs w:val="18"/>
              </w:rPr>
              <w:t xml:space="preserve">floor </w:t>
            </w:r>
            <w:r w:rsidR="00153EAB">
              <w:rPr>
                <w:bCs/>
                <w:sz w:val="18"/>
                <w:szCs w:val="18"/>
              </w:rPr>
              <w:t>Dining flooring</w:t>
            </w:r>
            <w:r w:rsidR="00153EAB" w:rsidRPr="003A1E74">
              <w:rPr>
                <w:bCs/>
                <w:sz w:val="18"/>
                <w:szCs w:val="18"/>
              </w:rPr>
              <w:t xml:space="preserve"> replacement Alternate price #</w:t>
            </w:r>
            <w:r w:rsidR="00153EAB">
              <w:rPr>
                <w:bCs/>
                <w:sz w:val="18"/>
                <w:szCs w:val="18"/>
              </w:rPr>
              <w:t>2</w:t>
            </w:r>
          </w:p>
          <w:p w14:paraId="7F196963" w14:textId="77777777" w:rsidR="00B9656E" w:rsidRDefault="00B9656E" w:rsidP="00B9656E">
            <w:pPr>
              <w:tabs>
                <w:tab w:val="left" w:pos="180"/>
                <w:tab w:val="right" w:pos="9360"/>
              </w:tabs>
              <w:rPr>
                <w:b/>
                <w:bCs/>
                <w:sz w:val="18"/>
                <w:szCs w:val="18"/>
              </w:rPr>
            </w:pPr>
          </w:p>
          <w:p w14:paraId="0CECF853" w14:textId="77777777" w:rsidR="00B9656E" w:rsidRDefault="00B9656E" w:rsidP="00B9656E">
            <w:pPr>
              <w:tabs>
                <w:tab w:val="left" w:pos="180"/>
                <w:tab w:val="right" w:pos="9360"/>
              </w:tabs>
              <w:rPr>
                <w:sz w:val="18"/>
                <w:szCs w:val="18"/>
              </w:rPr>
            </w:pPr>
            <w:r w:rsidRPr="00C762A3">
              <w:rPr>
                <w:bCs/>
                <w:sz w:val="18"/>
                <w:szCs w:val="18"/>
              </w:rPr>
              <w:t xml:space="preserve">Refer to </w:t>
            </w:r>
            <w:r>
              <w:rPr>
                <w:bCs/>
                <w:sz w:val="18"/>
                <w:szCs w:val="18"/>
              </w:rPr>
              <w:t xml:space="preserve">Drawings </w:t>
            </w:r>
            <w:r w:rsidRPr="00C762A3">
              <w:rPr>
                <w:sz w:val="18"/>
                <w:szCs w:val="18"/>
              </w:rPr>
              <w:t>and Specifications.</w:t>
            </w:r>
          </w:p>
          <w:p w14:paraId="79FF3747" w14:textId="77777777" w:rsidR="00B9656E" w:rsidRDefault="00B9656E" w:rsidP="00B9656E">
            <w:pPr>
              <w:tabs>
                <w:tab w:val="left" w:pos="180"/>
                <w:tab w:val="right" w:pos="9360"/>
              </w:tabs>
              <w:rPr>
                <w:sz w:val="18"/>
                <w:szCs w:val="18"/>
              </w:rPr>
            </w:pPr>
          </w:p>
          <w:p w14:paraId="29B2B485" w14:textId="4EF8A8A9" w:rsidR="00B9656E" w:rsidRDefault="00B9656E" w:rsidP="00B9656E">
            <w:pPr>
              <w:tabs>
                <w:tab w:val="left" w:pos="180"/>
                <w:tab w:val="right" w:pos="93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L</w:t>
            </w:r>
            <w:r w:rsidRPr="00B60BEC">
              <w:rPr>
                <w:b/>
                <w:snapToGrid w:val="0"/>
                <w:color w:val="000000"/>
                <w:sz w:val="18"/>
                <w:szCs w:val="18"/>
              </w:rPr>
              <w:t xml:space="preserve">ump Sum </w:t>
            </w:r>
            <w:r w:rsidRPr="00B60BEC">
              <w:rPr>
                <w:sz w:val="18"/>
                <w:szCs w:val="18"/>
              </w:rPr>
              <w:t>excluding Harmonized Sales Tax (HST).</w:t>
            </w:r>
          </w:p>
        </w:tc>
        <w:tc>
          <w:tcPr>
            <w:tcW w:w="1349" w:type="pct"/>
            <w:vAlign w:val="center"/>
          </w:tcPr>
          <w:p w14:paraId="47C413F4" w14:textId="07C7DC74" w:rsidR="00B9656E" w:rsidRPr="00483E13" w:rsidRDefault="00B9656E" w:rsidP="00B9656E">
            <w:pPr>
              <w:widowControl w:val="0"/>
              <w:spacing w:before="120" w:after="120"/>
              <w:ind w:left="360" w:hanging="36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$</w:t>
            </w:r>
          </w:p>
        </w:tc>
      </w:tr>
      <w:tr w:rsidR="002A5D66" w:rsidRPr="00483E13" w14:paraId="1F9922FB" w14:textId="77777777" w:rsidTr="000F3CB1">
        <w:trPr>
          <w:trHeight w:val="2074"/>
          <w:jc w:val="center"/>
        </w:trPr>
        <w:tc>
          <w:tcPr>
            <w:tcW w:w="681" w:type="pct"/>
            <w:vAlign w:val="center"/>
          </w:tcPr>
          <w:p w14:paraId="0B8C3537" w14:textId="77777777" w:rsidR="002A5D66" w:rsidRPr="00D34DC5" w:rsidRDefault="002A5D66" w:rsidP="002A5D66">
            <w:pPr>
              <w:pStyle w:val="ListParagraph"/>
              <w:widowControl w:val="0"/>
              <w:numPr>
                <w:ilvl w:val="0"/>
                <w:numId w:val="6"/>
              </w:numPr>
              <w:spacing w:before="120" w:after="120"/>
              <w:rPr>
                <w:b/>
                <w:snapToGrid w:val="0"/>
                <w:color w:val="000000"/>
                <w:sz w:val="20"/>
              </w:rPr>
            </w:pPr>
          </w:p>
        </w:tc>
        <w:tc>
          <w:tcPr>
            <w:tcW w:w="2970" w:type="pct"/>
            <w:vAlign w:val="center"/>
          </w:tcPr>
          <w:p w14:paraId="1CE23E5F" w14:textId="45CAE32D" w:rsidR="002A5D66" w:rsidRDefault="00A600E8" w:rsidP="000F3CB1">
            <w:pPr>
              <w:tabs>
                <w:tab w:val="left" w:pos="180"/>
                <w:tab w:val="right" w:pos="9360"/>
              </w:tabs>
              <w:rPr>
                <w:bCs/>
                <w:sz w:val="18"/>
                <w:szCs w:val="18"/>
              </w:rPr>
            </w:pPr>
            <w:ins w:id="2" w:author="Mike Yang" w:date="2024-06-13T08:10:00Z" w16du:dateUtc="2024-06-13T12:10:00Z">
              <w:r>
                <w:rPr>
                  <w:b/>
                  <w:bCs/>
                  <w:sz w:val="18"/>
                  <w:szCs w:val="18"/>
                </w:rPr>
                <w:t>21508.F06_</w:t>
              </w:r>
            </w:ins>
            <w:r w:rsidR="00153EAB" w:rsidRPr="00153EAB">
              <w:rPr>
                <w:b/>
                <w:bCs/>
                <w:sz w:val="18"/>
                <w:szCs w:val="18"/>
              </w:rPr>
              <w:t>Lakeshore Lodge - LL VCT Flooring Replacement</w:t>
            </w:r>
            <w:r w:rsidR="002A5D66">
              <w:rPr>
                <w:b/>
                <w:bCs/>
                <w:sz w:val="18"/>
                <w:szCs w:val="18"/>
              </w:rPr>
              <w:t xml:space="preserve"> </w:t>
            </w:r>
            <w:r w:rsidR="002A5D66">
              <w:rPr>
                <w:b/>
                <w:bCs/>
                <w:sz w:val="18"/>
                <w:szCs w:val="18"/>
              </w:rPr>
              <w:br/>
            </w:r>
            <w:r w:rsidR="002A5D66">
              <w:rPr>
                <w:b/>
                <w:bCs/>
                <w:sz w:val="18"/>
                <w:szCs w:val="18"/>
              </w:rPr>
              <w:br/>
            </w:r>
            <w:r w:rsidR="00153EAB">
              <w:rPr>
                <w:bCs/>
                <w:sz w:val="18"/>
                <w:szCs w:val="18"/>
              </w:rPr>
              <w:t>4</w:t>
            </w:r>
            <w:r w:rsidR="00153EAB" w:rsidRPr="00153EAB">
              <w:rPr>
                <w:bCs/>
                <w:sz w:val="18"/>
                <w:szCs w:val="18"/>
                <w:vertAlign w:val="superscript"/>
              </w:rPr>
              <w:t>th</w:t>
            </w:r>
            <w:r w:rsidR="00153EAB">
              <w:rPr>
                <w:bCs/>
                <w:sz w:val="18"/>
                <w:szCs w:val="18"/>
              </w:rPr>
              <w:t xml:space="preserve"> floor Dining flooring replacement</w:t>
            </w:r>
            <w:r w:rsidR="002A5D66">
              <w:rPr>
                <w:bCs/>
                <w:sz w:val="18"/>
                <w:szCs w:val="18"/>
              </w:rPr>
              <w:t xml:space="preserve"> Alternate price</w:t>
            </w:r>
            <w:r w:rsidR="00AA2640">
              <w:rPr>
                <w:bCs/>
                <w:sz w:val="18"/>
                <w:szCs w:val="18"/>
              </w:rPr>
              <w:t xml:space="preserve"> #1</w:t>
            </w:r>
          </w:p>
          <w:p w14:paraId="2E7F8F9D" w14:textId="77777777" w:rsidR="002A5D66" w:rsidRDefault="002A5D66" w:rsidP="000F3CB1">
            <w:pPr>
              <w:tabs>
                <w:tab w:val="left" w:pos="180"/>
                <w:tab w:val="right" w:pos="9360"/>
              </w:tabs>
              <w:rPr>
                <w:b/>
                <w:bCs/>
                <w:sz w:val="18"/>
                <w:szCs w:val="18"/>
              </w:rPr>
            </w:pPr>
          </w:p>
          <w:p w14:paraId="6EB5505A" w14:textId="3A9F75A9" w:rsidR="002A5D66" w:rsidRDefault="00153EAB" w:rsidP="000F3CB1">
            <w:pPr>
              <w:tabs>
                <w:tab w:val="left" w:pos="180"/>
                <w:tab w:val="right" w:pos="9360"/>
              </w:tabs>
              <w:rPr>
                <w:sz w:val="18"/>
                <w:szCs w:val="18"/>
              </w:rPr>
            </w:pPr>
            <w:r w:rsidRPr="00C762A3">
              <w:rPr>
                <w:bCs/>
                <w:sz w:val="18"/>
                <w:szCs w:val="18"/>
              </w:rPr>
              <w:t xml:space="preserve">Refer to </w:t>
            </w:r>
            <w:r>
              <w:rPr>
                <w:bCs/>
                <w:sz w:val="18"/>
                <w:szCs w:val="18"/>
              </w:rPr>
              <w:t xml:space="preserve">Drawings </w:t>
            </w:r>
            <w:r w:rsidRPr="00C762A3">
              <w:rPr>
                <w:sz w:val="18"/>
                <w:szCs w:val="18"/>
              </w:rPr>
              <w:t>and Specifications</w:t>
            </w:r>
            <w:r w:rsidR="002A5D66" w:rsidRPr="00C762A3">
              <w:rPr>
                <w:sz w:val="18"/>
                <w:szCs w:val="18"/>
              </w:rPr>
              <w:t>.</w:t>
            </w:r>
          </w:p>
          <w:p w14:paraId="3CD87020" w14:textId="77777777" w:rsidR="002A5D66" w:rsidRDefault="002A5D66" w:rsidP="000F3CB1">
            <w:pPr>
              <w:tabs>
                <w:tab w:val="left" w:pos="180"/>
                <w:tab w:val="right" w:pos="9360"/>
              </w:tabs>
              <w:rPr>
                <w:sz w:val="18"/>
                <w:szCs w:val="18"/>
              </w:rPr>
            </w:pPr>
          </w:p>
          <w:p w14:paraId="565256F6" w14:textId="77777777" w:rsidR="002A5D66" w:rsidRPr="00C762A3" w:rsidRDefault="002A5D66" w:rsidP="000F3CB1">
            <w:pPr>
              <w:tabs>
                <w:tab w:val="left" w:pos="180"/>
                <w:tab w:val="right" w:pos="9360"/>
              </w:tabs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L</w:t>
            </w:r>
            <w:r w:rsidRPr="00B60BEC">
              <w:rPr>
                <w:b/>
                <w:snapToGrid w:val="0"/>
                <w:color w:val="000000"/>
                <w:sz w:val="18"/>
                <w:szCs w:val="18"/>
              </w:rPr>
              <w:t xml:space="preserve">ump Sum </w:t>
            </w:r>
            <w:r w:rsidRPr="00B60BEC">
              <w:rPr>
                <w:sz w:val="18"/>
                <w:szCs w:val="18"/>
              </w:rPr>
              <w:t>excluding Harmonized Sales Tax (HST).</w:t>
            </w:r>
          </w:p>
        </w:tc>
        <w:tc>
          <w:tcPr>
            <w:tcW w:w="1349" w:type="pct"/>
            <w:vAlign w:val="center"/>
          </w:tcPr>
          <w:p w14:paraId="2FDF0551" w14:textId="3A53F2E4" w:rsidR="002A5D66" w:rsidRDefault="002A5D66" w:rsidP="000F3CB1">
            <w:pPr>
              <w:widowControl w:val="0"/>
              <w:spacing w:before="120" w:after="120"/>
              <w:ind w:left="360" w:hanging="360"/>
              <w:rPr>
                <w:snapToGrid w:val="0"/>
                <w:sz w:val="20"/>
              </w:rPr>
            </w:pPr>
            <w:r w:rsidRPr="00483E13">
              <w:rPr>
                <w:snapToGrid w:val="0"/>
                <w:sz w:val="20"/>
              </w:rPr>
              <w:t>$</w:t>
            </w:r>
          </w:p>
          <w:p w14:paraId="19DBC820" w14:textId="77777777" w:rsidR="002A5D66" w:rsidRPr="00483E13" w:rsidRDefault="002A5D66" w:rsidP="000F3CB1">
            <w:pPr>
              <w:widowControl w:val="0"/>
              <w:spacing w:before="120" w:after="120"/>
              <w:ind w:left="360" w:hanging="360"/>
              <w:rPr>
                <w:snapToGrid w:val="0"/>
                <w:sz w:val="20"/>
              </w:rPr>
            </w:pPr>
          </w:p>
        </w:tc>
      </w:tr>
      <w:tr w:rsidR="00FC4B2C" w:rsidRPr="00483E13" w14:paraId="311BD470" w14:textId="77777777" w:rsidTr="000F3CB1">
        <w:trPr>
          <w:trHeight w:val="2074"/>
          <w:jc w:val="center"/>
        </w:trPr>
        <w:tc>
          <w:tcPr>
            <w:tcW w:w="681" w:type="pct"/>
            <w:vAlign w:val="center"/>
          </w:tcPr>
          <w:p w14:paraId="651B0AA2" w14:textId="77777777" w:rsidR="00FC4B2C" w:rsidRPr="00D34DC5" w:rsidRDefault="00FC4B2C" w:rsidP="002A5D66">
            <w:pPr>
              <w:pStyle w:val="ListParagraph"/>
              <w:widowControl w:val="0"/>
              <w:numPr>
                <w:ilvl w:val="0"/>
                <w:numId w:val="6"/>
              </w:numPr>
              <w:spacing w:before="120" w:after="120"/>
              <w:rPr>
                <w:b/>
                <w:snapToGrid w:val="0"/>
                <w:color w:val="000000"/>
                <w:sz w:val="20"/>
              </w:rPr>
            </w:pPr>
            <w:bookmarkStart w:id="3" w:name="_Hlk110856579"/>
          </w:p>
        </w:tc>
        <w:tc>
          <w:tcPr>
            <w:tcW w:w="2970" w:type="pct"/>
            <w:vAlign w:val="center"/>
          </w:tcPr>
          <w:p w14:paraId="4A56E13F" w14:textId="3C09014A" w:rsidR="00153EAB" w:rsidRDefault="00A600E8" w:rsidP="00153EAB">
            <w:pPr>
              <w:tabs>
                <w:tab w:val="left" w:pos="180"/>
                <w:tab w:val="right" w:pos="9360"/>
              </w:tabs>
              <w:rPr>
                <w:bCs/>
                <w:sz w:val="18"/>
                <w:szCs w:val="18"/>
              </w:rPr>
            </w:pPr>
            <w:ins w:id="4" w:author="Mike Yang" w:date="2024-06-13T08:10:00Z" w16du:dateUtc="2024-06-13T12:10:00Z">
              <w:r>
                <w:rPr>
                  <w:b/>
                  <w:bCs/>
                  <w:sz w:val="18"/>
                  <w:szCs w:val="18"/>
                </w:rPr>
                <w:t>21508.F06_</w:t>
              </w:r>
            </w:ins>
            <w:r w:rsidR="00153EAB" w:rsidRPr="00153EAB">
              <w:rPr>
                <w:b/>
                <w:bCs/>
                <w:sz w:val="18"/>
                <w:szCs w:val="18"/>
              </w:rPr>
              <w:t>Lakeshore Lodge - LL VCT Flooring Replacement</w:t>
            </w:r>
            <w:r w:rsidR="00153EAB">
              <w:rPr>
                <w:b/>
                <w:bCs/>
                <w:sz w:val="18"/>
                <w:szCs w:val="18"/>
              </w:rPr>
              <w:t xml:space="preserve"> </w:t>
            </w:r>
            <w:r w:rsidR="00153EAB">
              <w:rPr>
                <w:b/>
                <w:bCs/>
                <w:sz w:val="18"/>
                <w:szCs w:val="18"/>
              </w:rPr>
              <w:br/>
            </w:r>
            <w:r w:rsidR="00153EAB">
              <w:rPr>
                <w:b/>
                <w:bCs/>
                <w:sz w:val="18"/>
                <w:szCs w:val="18"/>
              </w:rPr>
              <w:br/>
            </w:r>
            <w:r w:rsidR="00153EAB">
              <w:rPr>
                <w:bCs/>
                <w:sz w:val="18"/>
                <w:szCs w:val="18"/>
              </w:rPr>
              <w:t>4</w:t>
            </w:r>
            <w:r w:rsidR="00153EAB" w:rsidRPr="00153EAB">
              <w:rPr>
                <w:bCs/>
                <w:sz w:val="18"/>
                <w:szCs w:val="18"/>
                <w:vertAlign w:val="superscript"/>
              </w:rPr>
              <w:t>th</w:t>
            </w:r>
            <w:r w:rsidR="00153EAB">
              <w:rPr>
                <w:bCs/>
                <w:sz w:val="18"/>
                <w:szCs w:val="18"/>
              </w:rPr>
              <w:t xml:space="preserve"> floor Admin rooms flooring replacement Alternate price #2</w:t>
            </w:r>
          </w:p>
          <w:p w14:paraId="020C003D" w14:textId="77777777" w:rsidR="00153EAB" w:rsidRDefault="00153EAB" w:rsidP="00153EAB">
            <w:pPr>
              <w:tabs>
                <w:tab w:val="left" w:pos="180"/>
                <w:tab w:val="right" w:pos="9360"/>
              </w:tabs>
              <w:rPr>
                <w:b/>
                <w:bCs/>
                <w:sz w:val="18"/>
                <w:szCs w:val="18"/>
              </w:rPr>
            </w:pPr>
          </w:p>
          <w:p w14:paraId="2171C92D" w14:textId="77777777" w:rsidR="00153EAB" w:rsidRDefault="00153EAB" w:rsidP="00153EAB">
            <w:pPr>
              <w:tabs>
                <w:tab w:val="left" w:pos="180"/>
                <w:tab w:val="right" w:pos="9360"/>
              </w:tabs>
              <w:rPr>
                <w:sz w:val="18"/>
                <w:szCs w:val="18"/>
              </w:rPr>
            </w:pPr>
            <w:r w:rsidRPr="00C762A3">
              <w:rPr>
                <w:bCs/>
                <w:sz w:val="18"/>
                <w:szCs w:val="18"/>
              </w:rPr>
              <w:t xml:space="preserve">Refer to </w:t>
            </w:r>
            <w:r>
              <w:rPr>
                <w:bCs/>
                <w:sz w:val="18"/>
                <w:szCs w:val="18"/>
              </w:rPr>
              <w:t xml:space="preserve">Drawings </w:t>
            </w:r>
            <w:r w:rsidRPr="00C762A3">
              <w:rPr>
                <w:sz w:val="18"/>
                <w:szCs w:val="18"/>
              </w:rPr>
              <w:t>and Specifications.</w:t>
            </w:r>
          </w:p>
          <w:p w14:paraId="253F92DA" w14:textId="77777777" w:rsidR="00153EAB" w:rsidRDefault="00153EAB" w:rsidP="00153EAB">
            <w:pPr>
              <w:tabs>
                <w:tab w:val="left" w:pos="180"/>
                <w:tab w:val="right" w:pos="9360"/>
              </w:tabs>
              <w:rPr>
                <w:sz w:val="18"/>
                <w:szCs w:val="18"/>
              </w:rPr>
            </w:pPr>
          </w:p>
          <w:p w14:paraId="5973DBA4" w14:textId="12F174F6" w:rsidR="00FC4B2C" w:rsidRDefault="00153EAB" w:rsidP="00153EAB">
            <w:pPr>
              <w:tabs>
                <w:tab w:val="left" w:pos="180"/>
                <w:tab w:val="right" w:pos="93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snapToGrid w:val="0"/>
                <w:color w:val="000000"/>
                <w:sz w:val="18"/>
                <w:szCs w:val="18"/>
              </w:rPr>
              <w:t>L</w:t>
            </w:r>
            <w:r w:rsidRPr="00B60BEC">
              <w:rPr>
                <w:b/>
                <w:snapToGrid w:val="0"/>
                <w:color w:val="000000"/>
                <w:sz w:val="18"/>
                <w:szCs w:val="18"/>
              </w:rPr>
              <w:t xml:space="preserve">ump Sum </w:t>
            </w:r>
            <w:r w:rsidRPr="00B60BEC">
              <w:rPr>
                <w:sz w:val="18"/>
                <w:szCs w:val="18"/>
              </w:rPr>
              <w:t>excluding Harmonized Sales Tax (HST).</w:t>
            </w:r>
          </w:p>
        </w:tc>
        <w:tc>
          <w:tcPr>
            <w:tcW w:w="1349" w:type="pct"/>
            <w:vAlign w:val="center"/>
          </w:tcPr>
          <w:p w14:paraId="4CBE06E8" w14:textId="2CADAC74" w:rsidR="00FC4B2C" w:rsidRPr="00483E13" w:rsidRDefault="00FC4B2C" w:rsidP="00FC4B2C">
            <w:pPr>
              <w:widowControl w:val="0"/>
              <w:spacing w:before="120" w:after="120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$</w:t>
            </w:r>
          </w:p>
        </w:tc>
      </w:tr>
      <w:bookmarkEnd w:id="3"/>
    </w:tbl>
    <w:p w14:paraId="67A9AFBB" w14:textId="4D266BC6" w:rsidR="00E32D94" w:rsidRDefault="00E32D94" w:rsidP="00C47A99">
      <w:pPr>
        <w:pStyle w:val="BodyText"/>
        <w:rPr>
          <w:b/>
          <w:caps/>
          <w:u w:val="single"/>
        </w:rPr>
      </w:pPr>
    </w:p>
    <w:sectPr w:rsidR="00E32D94" w:rsidSect="00AA56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51452" w14:textId="77777777" w:rsidR="00F31B69" w:rsidRDefault="00F31B69">
      <w:r>
        <w:separator/>
      </w:r>
    </w:p>
  </w:endnote>
  <w:endnote w:type="continuationSeparator" w:id="0">
    <w:p w14:paraId="5D06AD20" w14:textId="77777777" w:rsidR="00F31B69" w:rsidRDefault="00F3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BMJF P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20CA2" w14:textId="77777777" w:rsidR="00CC7820" w:rsidRDefault="00CC78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06704" w14:textId="77777777" w:rsidR="00CC7820" w:rsidRDefault="00CC78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6128" w14:textId="77777777" w:rsidR="00CC7820" w:rsidRDefault="00CC78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0B0CC" w14:textId="77777777" w:rsidR="00F31B69" w:rsidRDefault="00F31B69">
      <w:r>
        <w:separator/>
      </w:r>
    </w:p>
  </w:footnote>
  <w:footnote w:type="continuationSeparator" w:id="0">
    <w:p w14:paraId="5AF15348" w14:textId="77777777" w:rsidR="00F31B69" w:rsidRDefault="00F31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6302F" w14:textId="77777777" w:rsidR="00CC7820" w:rsidRDefault="00CC78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0D143" w14:textId="75408AAC" w:rsidR="00F31B69" w:rsidRPr="0093605B" w:rsidRDefault="00C04E6C" w:rsidP="00C04E6C">
    <w:pPr>
      <w:pStyle w:val="Header1"/>
      <w:jc w:val="left"/>
      <w:rPr>
        <w:rFonts w:eastAsia="MS Mincho"/>
      </w:rPr>
    </w:pPr>
    <w:r>
      <w:rPr>
        <w:rFonts w:eastAsia="MS Mincho"/>
      </w:rPr>
      <w:t>Construction Agreement</w:t>
    </w:r>
    <w:r w:rsidR="00CA057F" w:rsidRPr="0093605B">
      <w:rPr>
        <w:rFonts w:eastAsia="MS Mincho"/>
      </w:rPr>
      <w:br/>
    </w:r>
    <w:r>
      <w:rPr>
        <w:rFonts w:eastAsia="MS Mincho"/>
      </w:rPr>
      <w:t>Schedule B.</w:t>
    </w:r>
    <w:r w:rsidR="006B4FF1">
      <w:rPr>
        <w:rFonts w:eastAsia="MS Mincho"/>
      </w:rPr>
      <w:t>2</w:t>
    </w:r>
    <w:r w:rsidR="00AA56F9">
      <w:rPr>
        <w:rFonts w:eastAsia="MS Mincho"/>
      </w:rPr>
      <w:t xml:space="preserve"> – </w:t>
    </w:r>
    <w:r w:rsidR="0030118D">
      <w:rPr>
        <w:rFonts w:eastAsia="MS Mincho"/>
      </w:rPr>
      <w:t>Alternative</w:t>
    </w:r>
    <w:r w:rsidR="00AA56F9">
      <w:rPr>
        <w:rFonts w:eastAsia="MS Mincho"/>
      </w:rPr>
      <w:t xml:space="preserve"> Prices</w:t>
    </w:r>
  </w:p>
  <w:p w14:paraId="3008C950" w14:textId="298C0950" w:rsidR="00F31B69" w:rsidRPr="0093605B" w:rsidRDefault="00CA057F" w:rsidP="00C04E6C">
    <w:pPr>
      <w:pStyle w:val="Header2"/>
      <w:jc w:val="left"/>
    </w:pPr>
    <w:r w:rsidRPr="0093605B">
      <w:t>Tender Call No.</w:t>
    </w:r>
    <w:r w:rsidR="00A53E57">
      <w:t xml:space="preserve"> </w:t>
    </w:r>
    <w:r w:rsidR="004B199C" w:rsidRPr="005277BE">
      <w:t>xx-</w:t>
    </w:r>
    <w:proofErr w:type="gramStart"/>
    <w:r w:rsidR="004B199C" w:rsidRPr="005277BE">
      <w:t>20</w:t>
    </w:r>
    <w:r w:rsidR="00C96698" w:rsidRPr="005277BE">
      <w:t>2</w:t>
    </w:r>
    <w:r w:rsidR="00CC7820">
      <w:t>3</w:t>
    </w:r>
    <w:r w:rsidR="004B199C" w:rsidRPr="005277BE">
      <w:t xml:space="preserve">  Contract</w:t>
    </w:r>
    <w:proofErr w:type="gramEnd"/>
    <w:r w:rsidR="004B199C" w:rsidRPr="005277BE">
      <w:t xml:space="preserve"> No. N/A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B0C41" w14:textId="77777777" w:rsidR="00CC7820" w:rsidRDefault="00CC7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1C3D"/>
    <w:multiLevelType w:val="hybridMultilevel"/>
    <w:tmpl w:val="AEF464FA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62305"/>
    <w:multiLevelType w:val="hybridMultilevel"/>
    <w:tmpl w:val="147086F4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11604"/>
    <w:multiLevelType w:val="hybridMultilevel"/>
    <w:tmpl w:val="B7FA9C5A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B6987"/>
    <w:multiLevelType w:val="hybridMultilevel"/>
    <w:tmpl w:val="0A5E2E90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21645"/>
    <w:multiLevelType w:val="hybridMultilevel"/>
    <w:tmpl w:val="AEF464FA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332BB"/>
    <w:multiLevelType w:val="hybridMultilevel"/>
    <w:tmpl w:val="B0F2AED2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009D9"/>
    <w:multiLevelType w:val="hybridMultilevel"/>
    <w:tmpl w:val="AEF464FA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128CA"/>
    <w:multiLevelType w:val="hybridMultilevel"/>
    <w:tmpl w:val="94E22710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25393"/>
    <w:multiLevelType w:val="hybridMultilevel"/>
    <w:tmpl w:val="9A66B73C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20A91"/>
    <w:multiLevelType w:val="hybridMultilevel"/>
    <w:tmpl w:val="6A20AD92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038A4"/>
    <w:multiLevelType w:val="hybridMultilevel"/>
    <w:tmpl w:val="A080E2EA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00A6A"/>
    <w:multiLevelType w:val="hybridMultilevel"/>
    <w:tmpl w:val="7ED2B8B4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071B1"/>
    <w:multiLevelType w:val="hybridMultilevel"/>
    <w:tmpl w:val="B7FA9C5A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0028C"/>
    <w:multiLevelType w:val="hybridMultilevel"/>
    <w:tmpl w:val="5980EA10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1025E"/>
    <w:multiLevelType w:val="hybridMultilevel"/>
    <w:tmpl w:val="B7FA9C5A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402E4"/>
    <w:multiLevelType w:val="hybridMultilevel"/>
    <w:tmpl w:val="0AB066E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90D15"/>
    <w:multiLevelType w:val="hybridMultilevel"/>
    <w:tmpl w:val="B7FA9C5A"/>
    <w:lvl w:ilvl="0" w:tplc="B7220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F3CAF"/>
    <w:multiLevelType w:val="hybridMultilevel"/>
    <w:tmpl w:val="92600B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75507"/>
    <w:multiLevelType w:val="hybridMultilevel"/>
    <w:tmpl w:val="8AC64918"/>
    <w:lvl w:ilvl="0" w:tplc="B7220E1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298990">
    <w:abstractNumId w:val="7"/>
  </w:num>
  <w:num w:numId="2" w16cid:durableId="476269259">
    <w:abstractNumId w:val="5"/>
  </w:num>
  <w:num w:numId="3" w16cid:durableId="1118064487">
    <w:abstractNumId w:val="10"/>
  </w:num>
  <w:num w:numId="4" w16cid:durableId="511265734">
    <w:abstractNumId w:val="15"/>
  </w:num>
  <w:num w:numId="5" w16cid:durableId="671682710">
    <w:abstractNumId w:val="18"/>
  </w:num>
  <w:num w:numId="6" w16cid:durableId="1405032868">
    <w:abstractNumId w:val="3"/>
  </w:num>
  <w:num w:numId="7" w16cid:durableId="2133473886">
    <w:abstractNumId w:val="1"/>
  </w:num>
  <w:num w:numId="8" w16cid:durableId="1183202235">
    <w:abstractNumId w:val="12"/>
  </w:num>
  <w:num w:numId="9" w16cid:durableId="1580745532">
    <w:abstractNumId w:val="16"/>
  </w:num>
  <w:num w:numId="10" w16cid:durableId="1908417128">
    <w:abstractNumId w:val="2"/>
  </w:num>
  <w:num w:numId="11" w16cid:durableId="2018655790">
    <w:abstractNumId w:val="14"/>
  </w:num>
  <w:num w:numId="12" w16cid:durableId="966669210">
    <w:abstractNumId w:val="8"/>
  </w:num>
  <w:num w:numId="13" w16cid:durableId="1561673898">
    <w:abstractNumId w:val="0"/>
  </w:num>
  <w:num w:numId="14" w16cid:durableId="1491674010">
    <w:abstractNumId w:val="4"/>
  </w:num>
  <w:num w:numId="15" w16cid:durableId="2007855554">
    <w:abstractNumId w:val="6"/>
  </w:num>
  <w:num w:numId="16" w16cid:durableId="2109619573">
    <w:abstractNumId w:val="9"/>
  </w:num>
  <w:num w:numId="17" w16cid:durableId="1154491472">
    <w:abstractNumId w:val="11"/>
  </w:num>
  <w:num w:numId="18" w16cid:durableId="500313546">
    <w:abstractNumId w:val="17"/>
  </w:num>
  <w:num w:numId="19" w16cid:durableId="1550799548">
    <w:abstractNumId w:val="17"/>
  </w:num>
  <w:num w:numId="20" w16cid:durableId="1988197593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ke Yang">
    <w15:presenceInfo w15:providerId="AD" w15:userId="S::myang@montgomerysisam.com::7351e807-8345-4bdd-9aa8-0112aea2d9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57F"/>
    <w:rsid w:val="00006473"/>
    <w:rsid w:val="00050778"/>
    <w:rsid w:val="00072159"/>
    <w:rsid w:val="00090A53"/>
    <w:rsid w:val="00091C2A"/>
    <w:rsid w:val="000C06E6"/>
    <w:rsid w:val="000E65F6"/>
    <w:rsid w:val="000F0D6F"/>
    <w:rsid w:val="001109AB"/>
    <w:rsid w:val="001111DF"/>
    <w:rsid w:val="00130566"/>
    <w:rsid w:val="00153EAB"/>
    <w:rsid w:val="00157860"/>
    <w:rsid w:val="00197B6E"/>
    <w:rsid w:val="001A527C"/>
    <w:rsid w:val="001C03D0"/>
    <w:rsid w:val="001D1ADE"/>
    <w:rsid w:val="001F6EC3"/>
    <w:rsid w:val="0020740E"/>
    <w:rsid w:val="00220D62"/>
    <w:rsid w:val="0022520E"/>
    <w:rsid w:val="00250D2E"/>
    <w:rsid w:val="0026707B"/>
    <w:rsid w:val="00276409"/>
    <w:rsid w:val="002954D4"/>
    <w:rsid w:val="002A5D66"/>
    <w:rsid w:val="002A68CE"/>
    <w:rsid w:val="002B467A"/>
    <w:rsid w:val="002D0276"/>
    <w:rsid w:val="002D78A0"/>
    <w:rsid w:val="002E04E1"/>
    <w:rsid w:val="0030118D"/>
    <w:rsid w:val="00305385"/>
    <w:rsid w:val="003073D6"/>
    <w:rsid w:val="00310A78"/>
    <w:rsid w:val="00333D26"/>
    <w:rsid w:val="003452A6"/>
    <w:rsid w:val="003A1E74"/>
    <w:rsid w:val="003C0E79"/>
    <w:rsid w:val="003E42C4"/>
    <w:rsid w:val="003F2263"/>
    <w:rsid w:val="003F4F0B"/>
    <w:rsid w:val="00435C72"/>
    <w:rsid w:val="004526C7"/>
    <w:rsid w:val="004573D4"/>
    <w:rsid w:val="00497F6A"/>
    <w:rsid w:val="004A2FC9"/>
    <w:rsid w:val="004B199C"/>
    <w:rsid w:val="004B4547"/>
    <w:rsid w:val="004C0980"/>
    <w:rsid w:val="005277BE"/>
    <w:rsid w:val="005428CD"/>
    <w:rsid w:val="00550014"/>
    <w:rsid w:val="00565636"/>
    <w:rsid w:val="005803B6"/>
    <w:rsid w:val="00580EAD"/>
    <w:rsid w:val="005B4273"/>
    <w:rsid w:val="005B7AAF"/>
    <w:rsid w:val="005C325C"/>
    <w:rsid w:val="005D1478"/>
    <w:rsid w:val="005D68B0"/>
    <w:rsid w:val="005F090B"/>
    <w:rsid w:val="00602306"/>
    <w:rsid w:val="006117FF"/>
    <w:rsid w:val="00637B69"/>
    <w:rsid w:val="00637F35"/>
    <w:rsid w:val="00655F56"/>
    <w:rsid w:val="006829C2"/>
    <w:rsid w:val="006935CE"/>
    <w:rsid w:val="006B4FF1"/>
    <w:rsid w:val="006D1411"/>
    <w:rsid w:val="0073241B"/>
    <w:rsid w:val="007568E7"/>
    <w:rsid w:val="00763174"/>
    <w:rsid w:val="00770AD5"/>
    <w:rsid w:val="00787764"/>
    <w:rsid w:val="007A78C9"/>
    <w:rsid w:val="008055E2"/>
    <w:rsid w:val="00817749"/>
    <w:rsid w:val="0082232D"/>
    <w:rsid w:val="0082603B"/>
    <w:rsid w:val="00826B55"/>
    <w:rsid w:val="00864CF9"/>
    <w:rsid w:val="00877E67"/>
    <w:rsid w:val="008853EE"/>
    <w:rsid w:val="00887444"/>
    <w:rsid w:val="008B3C11"/>
    <w:rsid w:val="008F79D7"/>
    <w:rsid w:val="009035A0"/>
    <w:rsid w:val="009353E6"/>
    <w:rsid w:val="0094747F"/>
    <w:rsid w:val="00955359"/>
    <w:rsid w:val="00965D6B"/>
    <w:rsid w:val="00971FA8"/>
    <w:rsid w:val="009916E9"/>
    <w:rsid w:val="009951A7"/>
    <w:rsid w:val="00996FA6"/>
    <w:rsid w:val="00A53E57"/>
    <w:rsid w:val="00A600E8"/>
    <w:rsid w:val="00A60132"/>
    <w:rsid w:val="00A65423"/>
    <w:rsid w:val="00A92EC1"/>
    <w:rsid w:val="00A939C4"/>
    <w:rsid w:val="00AA2640"/>
    <w:rsid w:val="00AA56F9"/>
    <w:rsid w:val="00AC141D"/>
    <w:rsid w:val="00AD3531"/>
    <w:rsid w:val="00AE2846"/>
    <w:rsid w:val="00B075A1"/>
    <w:rsid w:val="00B44B6E"/>
    <w:rsid w:val="00B84B75"/>
    <w:rsid w:val="00B9656E"/>
    <w:rsid w:val="00BA002D"/>
    <w:rsid w:val="00BA4151"/>
    <w:rsid w:val="00BA5F88"/>
    <w:rsid w:val="00BB147A"/>
    <w:rsid w:val="00BB1D33"/>
    <w:rsid w:val="00BC7E80"/>
    <w:rsid w:val="00BE4284"/>
    <w:rsid w:val="00BE4716"/>
    <w:rsid w:val="00C04E6C"/>
    <w:rsid w:val="00C24C43"/>
    <w:rsid w:val="00C34623"/>
    <w:rsid w:val="00C35871"/>
    <w:rsid w:val="00C47A99"/>
    <w:rsid w:val="00C60015"/>
    <w:rsid w:val="00C61513"/>
    <w:rsid w:val="00C657C0"/>
    <w:rsid w:val="00C96698"/>
    <w:rsid w:val="00CA057F"/>
    <w:rsid w:val="00CB4CEB"/>
    <w:rsid w:val="00CC333F"/>
    <w:rsid w:val="00CC7820"/>
    <w:rsid w:val="00CD33DA"/>
    <w:rsid w:val="00CE04D5"/>
    <w:rsid w:val="00D05109"/>
    <w:rsid w:val="00D21732"/>
    <w:rsid w:val="00D32339"/>
    <w:rsid w:val="00D34DC5"/>
    <w:rsid w:val="00D35C88"/>
    <w:rsid w:val="00D47DDC"/>
    <w:rsid w:val="00D545A6"/>
    <w:rsid w:val="00D62FDC"/>
    <w:rsid w:val="00D7336A"/>
    <w:rsid w:val="00D81828"/>
    <w:rsid w:val="00D8415F"/>
    <w:rsid w:val="00DA4B42"/>
    <w:rsid w:val="00DF757B"/>
    <w:rsid w:val="00E32D94"/>
    <w:rsid w:val="00E6638E"/>
    <w:rsid w:val="00E97B66"/>
    <w:rsid w:val="00EA417E"/>
    <w:rsid w:val="00EB30AF"/>
    <w:rsid w:val="00EC019D"/>
    <w:rsid w:val="00EF06ED"/>
    <w:rsid w:val="00EF6A25"/>
    <w:rsid w:val="00F00997"/>
    <w:rsid w:val="00F015B5"/>
    <w:rsid w:val="00F164BC"/>
    <w:rsid w:val="00F31B69"/>
    <w:rsid w:val="00F37A1E"/>
    <w:rsid w:val="00F45896"/>
    <w:rsid w:val="00F619D3"/>
    <w:rsid w:val="00F6551D"/>
    <w:rsid w:val="00F84900"/>
    <w:rsid w:val="00F90BB8"/>
    <w:rsid w:val="00F9378F"/>
    <w:rsid w:val="00FB207F"/>
    <w:rsid w:val="00FC4B2C"/>
    <w:rsid w:val="00FD634A"/>
    <w:rsid w:val="00FE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  <w14:docId w14:val="38784182"/>
  <w15:chartTrackingRefBased/>
  <w15:docId w15:val="{96E5D1A5-FA7A-457D-B8D0-03CA8E3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57F"/>
    <w:pPr>
      <w:spacing w:after="0" w:line="240" w:lineRule="auto"/>
    </w:pPr>
    <w:rPr>
      <w:rFonts w:ascii="Arial" w:eastAsia="Times New Roman" w:hAnsi="Arial" w:cs="Times New Roman"/>
      <w:lang w:eastAsia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7A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90BB8"/>
    <w:pPr>
      <w:keepNext/>
      <w:widowControl w:val="0"/>
      <w:tabs>
        <w:tab w:val="left" w:pos="0"/>
      </w:tabs>
      <w:jc w:val="right"/>
      <w:outlineLvl w:val="5"/>
    </w:pPr>
    <w:rPr>
      <w:rFonts w:ascii="Times New Roman" w:hAnsi="Times New Roman"/>
      <w:b/>
      <w:snapToGrid w:val="0"/>
      <w:sz w:val="24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_Header 1"/>
    <w:basedOn w:val="Normal"/>
    <w:rsid w:val="00CA057F"/>
    <w:pPr>
      <w:jc w:val="center"/>
    </w:pPr>
    <w:rPr>
      <w:rFonts w:cs="Arial"/>
      <w:b/>
      <w:sz w:val="24"/>
    </w:rPr>
  </w:style>
  <w:style w:type="paragraph" w:customStyle="1" w:styleId="Header2">
    <w:name w:val="_Header 2"/>
    <w:basedOn w:val="Normal"/>
    <w:rsid w:val="00CA057F"/>
    <w:pPr>
      <w:pBdr>
        <w:bottom w:val="single" w:sz="6" w:space="3" w:color="auto"/>
      </w:pBdr>
      <w:spacing w:after="300"/>
      <w:jc w:val="center"/>
    </w:pPr>
    <w:rPr>
      <w:rFonts w:cs="Arial"/>
      <w:sz w:val="20"/>
    </w:rPr>
  </w:style>
  <w:style w:type="character" w:styleId="Emphasis">
    <w:name w:val="Emphasis"/>
    <w:uiPriority w:val="20"/>
    <w:qFormat/>
    <w:rsid w:val="00CA057F"/>
    <w:rPr>
      <w:i/>
      <w:iCs/>
    </w:rPr>
  </w:style>
  <w:style w:type="character" w:styleId="Strong">
    <w:name w:val="Strong"/>
    <w:uiPriority w:val="22"/>
    <w:qFormat/>
    <w:rsid w:val="00CA057F"/>
    <w:rPr>
      <w:b/>
      <w:bCs/>
    </w:rPr>
  </w:style>
  <w:style w:type="paragraph" w:customStyle="1" w:styleId="Default">
    <w:name w:val="Default"/>
    <w:rsid w:val="00CA057F"/>
    <w:pPr>
      <w:widowControl w:val="0"/>
      <w:autoSpaceDE w:val="0"/>
      <w:autoSpaceDN w:val="0"/>
      <w:adjustRightInd w:val="0"/>
      <w:spacing w:after="0" w:line="240" w:lineRule="auto"/>
    </w:pPr>
    <w:rPr>
      <w:rFonts w:ascii="IBMJF P+ Times New" w:eastAsia="Times New Roman" w:hAnsi="IBMJF P+ Times New" w:cs="IBMJF P+ Times New"/>
      <w:color w:val="000000"/>
      <w:sz w:val="24"/>
      <w:szCs w:val="24"/>
      <w:lang w:eastAsia="en-CA"/>
    </w:rPr>
  </w:style>
  <w:style w:type="paragraph" w:customStyle="1" w:styleId="CM5">
    <w:name w:val="CM5"/>
    <w:basedOn w:val="Default"/>
    <w:next w:val="Default"/>
    <w:uiPriority w:val="99"/>
    <w:rsid w:val="00CA057F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A057F"/>
    <w:pPr>
      <w:spacing w:line="276" w:lineRule="atLeast"/>
    </w:pPr>
    <w:rPr>
      <w:rFonts w:cs="Times New Roman"/>
      <w:color w:val="auto"/>
    </w:rPr>
  </w:style>
  <w:style w:type="character" w:customStyle="1" w:styleId="Heading6Char">
    <w:name w:val="Heading 6 Char"/>
    <w:basedOn w:val="DefaultParagraphFont"/>
    <w:link w:val="Heading6"/>
    <w:rsid w:val="00F90BB8"/>
    <w:rPr>
      <w:rFonts w:ascii="Times New Roman" w:eastAsia="Times New Roman" w:hAnsi="Times New Roman" w:cs="Times New Roman"/>
      <w:b/>
      <w:snapToGrid w:val="0"/>
      <w:sz w:val="24"/>
      <w:szCs w:val="20"/>
      <w:lang w:val="en-GB"/>
    </w:rPr>
  </w:style>
  <w:style w:type="paragraph" w:styleId="BodyText">
    <w:name w:val="Body Text"/>
    <w:basedOn w:val="Normal"/>
    <w:link w:val="BodyTextChar"/>
    <w:rsid w:val="00F90BB8"/>
    <w:pPr>
      <w:widowControl w:val="0"/>
      <w:overflowPunct w:val="0"/>
      <w:autoSpaceDE w:val="0"/>
      <w:autoSpaceDN w:val="0"/>
      <w:adjustRightInd w:val="0"/>
      <w:spacing w:after="180"/>
      <w:textAlignment w:val="baseline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F90BB8"/>
    <w:rPr>
      <w:rFonts w:ascii="Arial" w:eastAsia="Times New Roman" w:hAnsi="Arial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2A68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8CE"/>
    <w:rPr>
      <w:rFonts w:ascii="Arial" w:eastAsia="Times New Roman" w:hAnsi="Arial" w:cs="Times New Roman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2A68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8CE"/>
    <w:rPr>
      <w:rFonts w:ascii="Arial" w:eastAsia="Times New Roman" w:hAnsi="Arial" w:cs="Times New Roman"/>
      <w:lang w:eastAsia="en-CA"/>
    </w:rPr>
  </w:style>
  <w:style w:type="paragraph" w:customStyle="1" w:styleId="Footer0">
    <w:name w:val="_Footer"/>
    <w:basedOn w:val="Footer"/>
    <w:rsid w:val="00D8415F"/>
    <w:pPr>
      <w:widowControl w:val="0"/>
      <w:pBdr>
        <w:top w:val="single" w:sz="6" w:space="1" w:color="auto"/>
      </w:pBdr>
      <w:tabs>
        <w:tab w:val="clear" w:pos="4680"/>
      </w:tabs>
    </w:pPr>
    <w:rPr>
      <w:snapToGrid w:val="0"/>
      <w:sz w:val="18"/>
      <w:szCs w:val="18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E35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E35F0"/>
    <w:rPr>
      <w:rFonts w:ascii="Arial" w:eastAsia="Times New Roman" w:hAnsi="Arial" w:cs="Times New Roman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D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D33"/>
    <w:rPr>
      <w:rFonts w:ascii="Segoe UI" w:eastAsia="Times New Roman" w:hAnsi="Segoe UI" w:cs="Segoe UI"/>
      <w:sz w:val="18"/>
      <w:szCs w:val="18"/>
      <w:lang w:eastAsia="en-CA"/>
    </w:rPr>
  </w:style>
  <w:style w:type="paragraph" w:styleId="ListParagraph">
    <w:name w:val="List Paragraph"/>
    <w:basedOn w:val="Normal"/>
    <w:uiPriority w:val="34"/>
    <w:qFormat/>
    <w:rsid w:val="003F4F0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C47A9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CA"/>
    </w:rPr>
  </w:style>
  <w:style w:type="paragraph" w:styleId="Revision">
    <w:name w:val="Revision"/>
    <w:hidden/>
    <w:uiPriority w:val="99"/>
    <w:semiHidden/>
    <w:rsid w:val="00A600E8"/>
    <w:pPr>
      <w:spacing w:after="0" w:line="240" w:lineRule="auto"/>
    </w:pPr>
    <w:rPr>
      <w:rFonts w:ascii="Arial" w:eastAsia="Times New Roman" w:hAnsi="Arial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5604C-ED71-4E24-9BB3-C3155192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Toronto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Nair</dc:creator>
  <cp:keywords/>
  <dc:description/>
  <cp:lastModifiedBy>Mike Yang</cp:lastModifiedBy>
  <cp:revision>27</cp:revision>
  <cp:lastPrinted>2020-02-19T22:53:00Z</cp:lastPrinted>
  <dcterms:created xsi:type="dcterms:W3CDTF">2020-11-30T17:00:00Z</dcterms:created>
  <dcterms:modified xsi:type="dcterms:W3CDTF">2024-06-13T12:10:00Z</dcterms:modified>
</cp:coreProperties>
</file>